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56" w:firstLine="6"/>
        <w:jc w:val="right"/>
        <w:spacing w:after="0" w:line="240" w:lineRule="exact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1" w:name="Par44"/>
      <w:r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/>
    </w:p>
    <w:p>
      <w:pPr>
        <w:jc w:val="center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b/>
          <w:sz w:val="28"/>
          <w:szCs w:val="28"/>
        </w:rPr>
        <w:t xml:space="preserve">жилищному</w:t>
      </w:r>
      <w:r>
        <w:rPr>
          <w:rFonts w:ascii="Times New Roman" w:hAnsi="Times New Roman"/>
          <w:b/>
          <w:sz w:val="28"/>
          <w:szCs w:val="28"/>
        </w:rPr>
        <w:t xml:space="preserve"> контролю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Оричевское</w:t>
      </w:r>
      <w:r>
        <w:rPr>
          <w:rFonts w:ascii="Times New Roman" w:hAnsi="Times New Roman"/>
          <w:b/>
          <w:sz w:val="28"/>
          <w:szCs w:val="28"/>
        </w:rPr>
        <w:t xml:space="preserve"> городское поселение Оричевского района Кировской области</w:t>
      </w:r>
      <w:r/>
    </w:p>
    <w:p>
      <w:pPr>
        <w:jc w:val="center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 год</w:t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outlineLvl w:val="1"/>
      </w:pPr>
      <w:r/>
      <w:bookmarkStart w:id="2" w:name="Par94"/>
      <w:r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контроля, описание текущего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профилактической деятельности контрольного органа, характеристика проблем,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рограмма профилактики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</w:t>
      </w:r>
      <w:r>
        <w:rPr>
          <w:rFonts w:ascii="Times New Roman" w:hAnsi="Times New Roman" w:cs="Times New Roman"/>
          <w:sz w:val="28"/>
          <w:szCs w:val="28"/>
        </w:rPr>
        <w:t xml:space="preserve"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жилищному</w:t>
      </w:r>
      <w:r>
        <w:rPr>
          <w:rFonts w:ascii="Times New Roman" w:hAnsi="Times New Roman"/>
          <w:sz w:val="28"/>
          <w:szCs w:val="28"/>
        </w:rPr>
        <w:t xml:space="preserve"> контролю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Оричевское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 Оричевского района Кировской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бласти на </w:t>
      </w:r>
      <w:r>
        <w:rPr>
          <w:rFonts w:ascii="Times New Roman" w:hAnsi="Times New Roman"/>
          <w:sz w:val="28"/>
          <w:szCs w:val="28"/>
        </w:rPr>
        <w:t xml:space="preserve">2022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31</w:t>
      </w:r>
      <w:r>
        <w:rPr>
          <w:rFonts w:ascii="Times New Roman" w:hAnsi="Times New Roman" w:cs="Times New Roman"/>
          <w:sz w:val="28"/>
          <w:szCs w:val="28"/>
        </w:rPr>
        <w:t xml:space="preserve">.07.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248</w:t>
      </w:r>
      <w:r>
        <w:rPr>
          <w:rFonts w:ascii="Times New Roman" w:hAnsi="Times New Roman" w:cs="Times New Roman"/>
          <w:sz w:val="28"/>
          <w:szCs w:val="28"/>
        </w:rPr>
        <w:t xml:space="preserve"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.06.</w:t>
      </w:r>
      <w:r>
        <w:rPr>
          <w:rFonts w:ascii="Times New Roman" w:hAnsi="Times New Roman" w:cs="Times New Roman"/>
          <w:sz w:val="28"/>
          <w:szCs w:val="28"/>
        </w:rPr>
        <w:t xml:space="preserve">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по осуществлению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Оричевского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Оричевского района Кировской области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Оричевского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Оричевского района Кировской области.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Оричевского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должностные лица, ответственные за осуществление данно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Оричевского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должностные лица администрации поселения).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Оричевского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размещен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актуализирована следующая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муниципального контроля;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10" w:tooltip="consultantplus://offline/ref=F248FBD79A1D31F6710BC76413C484456E29746B81124D5C3D873A012D354837B5C95C3ADDDF3C6AD2C75A9EED203D5DBA949216D3FDFDC11BC8O" w:history="1">
        <w:r>
          <w:rPr>
            <w:rFonts w:ascii="Times New Roman" w:hAnsi="Times New Roman" w:cs="Times New Roman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обязательных требованиях в Российской Федерации»;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наиболее часто встречающихся случаев нарушений обязательных требований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требований, установленных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истекший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внеплановые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проводились.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</w:t>
      </w:r>
      <w:r>
        <w:rPr>
          <w:rFonts w:ascii="Times New Roman" w:hAnsi="Times New Roman" w:cs="Times New Roman"/>
          <w:sz w:val="28"/>
          <w:szCs w:val="28"/>
        </w:rPr>
        <w:t xml:space="preserve">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жилищному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в 2022 году не выявлено.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outlineLvl w:val="1"/>
      </w:pPr>
      <w:r/>
      <w:bookmarkStart w:id="3" w:name="Par175"/>
      <w:r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/>
    </w:p>
    <w:p>
      <w:pPr>
        <w:pStyle w:val="608"/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:</w:t>
      </w:r>
      <w:r/>
    </w:p>
    <w:p>
      <w:pPr>
        <w:pStyle w:val="608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крепление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нарушений рисков причинения</w:t>
      </w:r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  <w:r/>
    </w:p>
    <w:p>
      <w:pPr>
        <w:pStyle w:val="608"/>
        <w:ind w:left="0" w:firstLine="709"/>
        <w:jc w:val="both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/>
    </w:p>
    <w:p>
      <w:pPr>
        <w:pStyle w:val="608"/>
        <w:ind w:left="0" w:firstLine="709"/>
        <w:jc w:val="both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  <w:r/>
    </w:p>
    <w:p>
      <w:pPr>
        <w:pStyle w:val="608"/>
        <w:ind w:left="0" w:firstLine="709"/>
        <w:jc w:val="both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8"/>
        <w:ind w:left="709"/>
        <w:jc w:val="both"/>
        <w:spacing w:before="2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сроки (периодичность) их проведения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W w:w="956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5387"/>
        <w:gridCol w:w="1843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Структурное подразделение, ответственное за реализацию</w:t>
            </w:r>
            <w:r/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Информирование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(по мере необходимости)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Заместитель главы администрации поселения</w:t>
            </w:r>
            <w:r/>
          </w:p>
        </w:tc>
      </w:tr>
      <w:tr>
        <w:trPr>
          <w:trHeight w:val="11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>
              <w:rPr>
                <w:rFonts w:ascii="Times New Roman" w:hAnsi="Times New Roman" w:cs="Times New Roman"/>
              </w:rPr>
              <w:t xml:space="preserve">жилищного</w:t>
            </w:r>
            <w:r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Оричевского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</w:t>
            </w:r>
            <w:r>
              <w:rPr>
                <w:rFonts w:ascii="Times New Roman" w:hAnsi="Times New Roman" w:cs="Times New Roman"/>
              </w:rPr>
              <w:t xml:space="preserve">ского поселения</w:t>
            </w:r>
            <w:r>
              <w:rPr>
                <w:rFonts w:ascii="Times New Roman" w:hAnsi="Times New Roman" w:cs="Times New Roman"/>
              </w:rPr>
              <w:t xml:space="preserve"> в сети «Интернет»: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тексты нормативных правовых актов, регулирующих осуществление муниципального контроля;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hyperlink r:id="rId11" w:tooltip="consultantplus://offline/ref=F248FBD79A1D31F6710BC76413C484456F2071638B144D5C3D873A012D354837A7C90436DDD6236ADAD20CCFAB17C4O" w:history="1">
              <w:r>
                <w:rPr>
                  <w:rFonts w:ascii="Times New Roman" w:hAnsi="Times New Roman" w:cs="Times New Roman"/>
                </w:rPr>
                <w:t xml:space="preserve">перечень</w:t>
              </w:r>
            </w:hyperlink>
            <w:r>
              <w:rPr>
                <w:rFonts w:ascii="Times New Roman" w:hAnsi="Times New Roman" w:cs="Times New Roman"/>
              </w:rPr>
              <w:t xml:space="preserve"> нормативных правовых актов с указа</w:t>
            </w:r>
            <w:r>
              <w:rPr>
                <w:rFonts w:ascii="Times New Roman" w:hAnsi="Times New Roman" w:cs="Times New Roman"/>
              </w:rPr>
              <w:t xml:space="preserve">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2" w:tooltip="consultantplus://offline/ref=F248FBD79A1D31F6710BC76413C484456E29746B81124D5C3D873A012D354837B5C95C3ADDDF3C6AD2C75A9EED203D5DBA949216D3FDFDC11BC8O" w:history="1">
              <w:r>
                <w:rPr>
                  <w:rFonts w:ascii="Times New Roman" w:hAnsi="Times New Roman" w:cs="Times New Roman"/>
                </w:rPr>
                <w:t xml:space="preserve">законом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Об обязательных тре</w:t>
            </w:r>
            <w:r>
              <w:rPr>
                <w:rFonts w:ascii="Times New Roman" w:hAnsi="Times New Roman" w:cs="Times New Roman"/>
              </w:rPr>
              <w:t xml:space="preserve">бованиях в Российской Федерации»</w:t>
            </w:r>
            <w:r>
              <w:rPr>
                <w:rFonts w:ascii="Times New Roman" w:hAnsi="Times New Roman" w:cs="Times New Roman"/>
              </w:rPr>
              <w:t xml:space="preserve">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) перечень индикаторов риска нарушения обязательных требований;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t xml:space="preserve"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органом;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  <w:t xml:space="preserve">) исчерпывающий перечень сведений, которые могут запрашиваться контрольным органом у контролируемого лица;</w:t>
            </w:r>
            <w:r/>
          </w:p>
          <w:p>
            <w:pPr>
              <w:ind w:firstLine="42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  <w:t xml:space="preserve"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 xml:space="preserve">юдения обязательных требований.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117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 муниципального жилищного контроля и размещение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Оричевское</w:t>
            </w:r>
            <w:r>
              <w:rPr>
                <w:rFonts w:ascii="Times New Roman" w:hAnsi="Times New Roman" w:cs="Times New Roman"/>
              </w:rPr>
              <w:t xml:space="preserve"> городское поселени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и </w:t>
            </w:r>
            <w:r>
              <w:rPr>
                <w:rFonts w:ascii="Times New Roman" w:hAnsi="Times New Roman" w:cs="Times New Roman"/>
                <w:color w:val="000000"/>
              </w:rPr>
              <w:t xml:space="preserve">требований, установленных муниципальными правовыми актами,</w:t>
            </w:r>
            <w:r>
              <w:rPr>
                <w:rFonts w:ascii="Times New Roman" w:hAnsi="Times New Roman" w:cs="Times New Roman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целях</w:t>
            </w:r>
            <w:r>
              <w:rPr>
                <w:rFonts w:ascii="Times New Roman" w:hAnsi="Times New Roman" w:cs="Times New Roman"/>
              </w:rPr>
              <w:t xml:space="preserve"> недопущения таких нарушений.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Заместитель главы администрации поселения</w:t>
            </w:r>
            <w:r/>
          </w:p>
        </w:tc>
      </w:tr>
      <w:tr>
        <w:trPr>
          <w:trHeight w:val="2793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требований, установленных муниципальными правовыми актами, в соответствии с частями 5 - 7</w:t>
            </w:r>
            <w:r>
              <w:rPr>
                <w:rFonts w:ascii="Times New Roman" w:hAnsi="Times New Roman" w:cs="Times New Roman"/>
              </w:rPr>
              <w:t xml:space="preserve"> статьи 8.2 Федерального закона от 26</w:t>
            </w:r>
            <w:r>
              <w:rPr>
                <w:rFonts w:ascii="Times New Roman" w:hAnsi="Times New Roman" w:cs="Times New Roman"/>
              </w:rPr>
              <w:t xml:space="preserve">.12.</w:t>
            </w:r>
            <w:r>
              <w:rPr>
                <w:rFonts w:ascii="Times New Roman" w:hAnsi="Times New Roman" w:cs="Times New Roman"/>
              </w:rPr>
      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атьей</w:t>
            </w:r>
            <w:r>
              <w:rPr>
                <w:rFonts w:ascii="Times New Roman" w:hAnsi="Times New Roman" w:cs="Times New Roman"/>
              </w:rPr>
              <w:t xml:space="preserve"> 49 </w:t>
            </w:r>
            <w:r>
              <w:rPr>
                <w:rFonts w:ascii="Times New Roman" w:hAnsi="Times New Roman" w:cs="Times New Roman"/>
              </w:rPr>
              <w:t xml:space="preserve">Федерального </w:t>
            </w:r>
            <w:r>
              <w:rPr>
                <w:rFonts w:ascii="Times New Roman" w:hAnsi="Times New Roman" w:cs="Times New Roman"/>
              </w:rPr>
              <w:t xml:space="preserve">закона           </w:t>
            </w:r>
            <w:r>
              <w:rPr>
                <w:rFonts w:ascii="Times New Roman" w:hAnsi="Times New Roman" w:cs="Times New Roman"/>
              </w:rPr>
              <w:t xml:space="preserve">№</w:t>
            </w:r>
            <w:r>
              <w:rPr>
                <w:rFonts w:ascii="Times New Roman" w:hAnsi="Times New Roman" w:cs="Times New Roman"/>
              </w:rPr>
              <w:t xml:space="preserve"> 248-ФЗ «О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государственном контроле (надзоре) и муниципальном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контроле</w:t>
            </w:r>
            <w:r>
              <w:rPr>
                <w:rFonts w:ascii="Times New Roman" w:hAnsi="Times New Roman" w:cs="Times New Roman"/>
              </w:rPr>
              <w:t xml:space="preserve"> в Российской Федерации»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ри наличии у должностного лица сведений о готовящихся нарушениях обязательных требований или признак</w:t>
            </w:r>
            <w:r>
              <w:rPr>
                <w:rFonts w:ascii="Times New Roman" w:hAnsi="Times New Roman" w:cs="Times New Roman"/>
              </w:rPr>
              <w:t xml:space="preserve">ов</w:t>
            </w:r>
            <w:r>
              <w:rPr>
                <w:rFonts w:ascii="Times New Roman" w:hAnsi="Times New Roman" w:cs="Times New Roman"/>
              </w:rPr>
              <w:t xml:space="preserve"> нарушений обязательных требований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iCs/>
              </w:rPr>
              <w:t xml:space="preserve">Заместитель главы администрации поселения</w:t>
            </w:r>
            <w:r/>
          </w:p>
        </w:tc>
      </w:tr>
      <w:tr>
        <w:trPr>
          <w:trHeight w:val="253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Консультирование</w:t>
            </w:r>
            <w:r>
              <w:rPr>
                <w:rFonts w:ascii="Times New Roman" w:hAnsi="Times New Roman" w:cs="Times New Roman"/>
                <w:iCs/>
              </w:rPr>
              <w:t xml:space="preserve"> контролируемых лиц по вопросам, связанным с организацией и осуществлением муниципального </w:t>
            </w:r>
            <w:r>
              <w:rPr>
                <w:rFonts w:ascii="Times New Roman" w:hAnsi="Times New Roman" w:cs="Times New Roman"/>
                <w:iCs/>
              </w:rPr>
              <w:t xml:space="preserve">жилищного </w:t>
            </w:r>
            <w:r>
              <w:rPr>
                <w:rFonts w:ascii="Times New Roman" w:hAnsi="Times New Roman" w:cs="Times New Roman"/>
                <w:iCs/>
              </w:rPr>
              <w:t xml:space="preserve">контроля.</w:t>
            </w:r>
            <w:r/>
          </w:p>
          <w:p>
            <w:pPr>
              <w:ind w:firstLine="993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>
              <w:rPr>
                <w:rFonts w:ascii="Times New Roman" w:hAnsi="Times New Roman" w:cs="Times New Roman"/>
              </w:rPr>
              <w:t xml:space="preserve">по вопросам, связанным с организацией и осуществлением муниципального контроля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поселения</w:t>
            </w:r>
            <w:r/>
          </w:p>
        </w:tc>
      </w:tr>
      <w:tr>
        <w:trPr>
          <w:trHeight w:val="45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Профилактические визиты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раз в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поселения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outlineLvl w:val="1"/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рограммы профилактики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результативности программы 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выявленных нарушений требований законодательства, ед.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проведенных профилактических мероприятий, ед.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программы 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снижение количества выявленных при проведении контрольных мероприятий нарушений требований законодательства.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доля профилактических мероприятий в объеме контрольных мероприятий, %.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Отчетным периодом для определения значений показателей является календарный год.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uiPriority w:val="34"/>
    <w:qFormat/>
    <w:pPr>
      <w:contextualSpacing/>
      <w:ind w:left="720"/>
    </w:pPr>
  </w:style>
  <w:style w:type="character" w:styleId="609">
    <w:name w:val="Emphasis"/>
    <w:basedOn w:val="605"/>
    <w:uiPriority w:val="99"/>
    <w:qFormat/>
    <w:rPr>
      <w:rFonts w:cs="Times New Roman"/>
      <w:i/>
    </w:rPr>
  </w:style>
  <w:style w:type="paragraph" w:styleId="610">
    <w:name w:val="Balloon Text"/>
    <w:basedOn w:val="604"/>
    <w:link w:val="61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1" w:customStyle="1">
    <w:name w:val="Текст выноски Знак"/>
    <w:basedOn w:val="605"/>
    <w:link w:val="61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7AA1-ABE0-4C54-B24D-C8EA0D36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revision>9</cp:revision>
  <dcterms:created xsi:type="dcterms:W3CDTF">2021-10-06T05:23:00Z</dcterms:created>
  <dcterms:modified xsi:type="dcterms:W3CDTF">2022-11-10T07:42:08Z</dcterms:modified>
</cp:coreProperties>
</file>